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shd w:val="clear" w:color="auto" w:fill="auto"/>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6"/>
            <w:r w:rsidR="001A0725"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shd w:val="clear" w:color="auto" w:fill="auto"/>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shd w:val="clear" w:color="auto" w:fill="auto"/>
          </w:tcPr>
          <w:p w14:paraId="21799BE5" w14:textId="40B72E76" w:rsidR="005949D4" w:rsidRDefault="00D1054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 xml:space="preserve">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w:t>
            </w:r>
            <w:proofErr w:type="gramStart"/>
            <w:r w:rsidRPr="005949D4">
              <w:rPr>
                <w:color w:val="000000"/>
              </w:rPr>
              <w:t>business</w:t>
            </w:r>
            <w:r>
              <w:rPr>
                <w:color w:val="000000"/>
              </w:rPr>
              <w:t>;</w:t>
            </w:r>
            <w:r w:rsidR="001A0725" w:rsidRPr="00EF2BEC">
              <w:rPr>
                <w:color w:val="000000"/>
              </w:rPr>
              <w:t>.</w:t>
            </w:r>
            <w:proofErr w:type="gramEnd"/>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shd w:val="clear" w:color="auto" w:fill="auto"/>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shd w:val="clear" w:color="auto" w:fill="auto"/>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shd w:val="clear" w:color="auto" w:fill="auto"/>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shd w:val="clear" w:color="auto" w:fill="auto"/>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shd w:val="clear" w:color="auto" w:fill="auto"/>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shd w:val="clear" w:color="auto" w:fill="auto"/>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w:t>
      </w:r>
      <w:r>
        <w:rPr>
          <w:bCs/>
          <w:iCs/>
          <w:color w:val="000000"/>
        </w:rPr>
        <w:lastRenderedPageBreak/>
        <w:t xml:space="preserve">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lastRenderedPageBreak/>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shd w:val="clear" w:color="auto" w:fill="auto"/>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shd w:val="clear" w:color="auto" w:fill="auto"/>
          </w:tcPr>
          <w:p w14:paraId="204BEE57" w14:textId="77777777" w:rsidR="004B7479" w:rsidRDefault="004B7479" w:rsidP="00D72B30">
            <w:pPr>
              <w:spacing w:before="240" w:after="120"/>
              <w:jc w:val="both"/>
              <w:rPr>
                <w:noProof/>
              </w:rPr>
            </w:pPr>
            <w:r>
              <w:rPr>
                <w:noProof/>
              </w:rPr>
              <w:t>YES</w:t>
            </w:r>
          </w:p>
        </w:tc>
        <w:tc>
          <w:tcPr>
            <w:tcW w:w="602" w:type="dxa"/>
            <w:shd w:val="clear" w:color="auto" w:fill="auto"/>
          </w:tcPr>
          <w:p w14:paraId="1C03490A" w14:textId="77777777" w:rsidR="004B7479" w:rsidRDefault="004B7479" w:rsidP="00D72B30">
            <w:pPr>
              <w:spacing w:before="240" w:after="120"/>
              <w:jc w:val="both"/>
              <w:rPr>
                <w:noProof/>
              </w:rPr>
            </w:pPr>
            <w:r>
              <w:rPr>
                <w:noProof/>
              </w:rPr>
              <w:t>NO</w:t>
            </w:r>
          </w:p>
        </w:tc>
        <w:tc>
          <w:tcPr>
            <w:tcW w:w="636" w:type="dxa"/>
            <w:gridSpan w:val="2"/>
            <w:shd w:val="clear" w:color="auto" w:fill="auto"/>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shd w:val="clear" w:color="auto" w:fill="auto"/>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shd w:val="clear" w:color="auto" w:fill="auto"/>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w:t>
      </w:r>
      <w:proofErr w:type="gramStart"/>
      <w:r w:rsidR="00FF1B16">
        <w:t>up-to-date</w:t>
      </w:r>
      <w:proofErr w:type="gramEnd"/>
      <w:r w:rsidR="00FF1B16">
        <w:t>.</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shd w:val="clear" w:color="auto" w:fill="auto"/>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shd w:val="clear" w:color="auto" w:fill="auto"/>
          </w:tcPr>
          <w:p w14:paraId="4A6B2F91" w14:textId="77777777" w:rsidR="00FF1B16" w:rsidRDefault="00FF1B16" w:rsidP="00082AC1">
            <w:pPr>
              <w:spacing w:before="240" w:after="120"/>
              <w:jc w:val="center"/>
              <w:rPr>
                <w:noProof/>
              </w:rPr>
            </w:pPr>
            <w:r>
              <w:rPr>
                <w:noProof/>
              </w:rPr>
              <w:t>YES</w:t>
            </w:r>
          </w:p>
        </w:tc>
        <w:tc>
          <w:tcPr>
            <w:tcW w:w="467" w:type="dxa"/>
            <w:shd w:val="clear" w:color="auto" w:fill="auto"/>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shd w:val="clear" w:color="auto" w:fill="auto"/>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shd w:val="clear" w:color="auto" w:fill="auto"/>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shd w:val="clear" w:color="auto" w:fill="auto"/>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3"/>
      </w:r>
    </w:p>
    <w:p w14:paraId="080A35A9" w14:textId="77777777" w:rsidR="0078019C" w:rsidRPr="0050790F" w:rsidRDefault="0078019C"/>
    <w:sectPr w:rsidR="0078019C" w:rsidRPr="0050790F" w:rsidSect="00D8405C">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50747" w14:textId="77777777" w:rsidR="00CE335C" w:rsidRDefault="00CE335C" w:rsidP="0050790F">
      <w:r>
        <w:separator/>
      </w:r>
    </w:p>
  </w:endnote>
  <w:endnote w:type="continuationSeparator" w:id="0">
    <w:p w14:paraId="4D2BF559" w14:textId="77777777" w:rsidR="00CE335C" w:rsidRDefault="00CE335C"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000000"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D86CA" w14:textId="77777777" w:rsidR="00CE335C" w:rsidRDefault="00CE335C" w:rsidP="0050790F">
      <w:r>
        <w:separator/>
      </w:r>
    </w:p>
  </w:footnote>
  <w:footnote w:type="continuationSeparator" w:id="0">
    <w:p w14:paraId="19D392FF" w14:textId="77777777" w:rsidR="00CE335C" w:rsidRDefault="00CE335C"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proofErr w:type="gramStart"/>
      <w:r w:rsidRPr="00B74CFF">
        <w:rPr>
          <w:spacing w:val="-3"/>
          <w:sz w:val="20"/>
          <w:szCs w:val="20"/>
          <w:lang w:val="en"/>
        </w:rPr>
        <w:t>tenderer;</w:t>
      </w:r>
      <w:proofErr w:type="gramEnd"/>
      <w:r w:rsidRPr="00B74CFF">
        <w:rPr>
          <w:spacing w:val="-3"/>
          <w:sz w:val="20"/>
          <w:szCs w:val="20"/>
          <w:lang w:val="en"/>
        </w:rPr>
        <w:t xml:space="preserve">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proofErr w:type="gramStart"/>
      <w:r w:rsidR="00D96492">
        <w:rPr>
          <w:spacing w:val="-3"/>
          <w:sz w:val="20"/>
          <w:szCs w:val="20"/>
          <w:lang w:val="en"/>
        </w:rPr>
        <w:t>)</w:t>
      </w:r>
      <w:r w:rsidRPr="00B74CFF">
        <w:rPr>
          <w:spacing w:val="-3"/>
          <w:sz w:val="20"/>
          <w:szCs w:val="20"/>
          <w:lang w:val="en"/>
        </w:rPr>
        <w:t>;</w:t>
      </w:r>
      <w:proofErr w:type="gramEnd"/>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 xml:space="preserve">other entities (that are not subcontractors) on whose capacity the candidate/tenderer </w:t>
      </w:r>
      <w:proofErr w:type="gramStart"/>
      <w:r w:rsidRPr="00D66B21">
        <w:rPr>
          <w:spacing w:val="-3"/>
          <w:sz w:val="20"/>
          <w:szCs w:val="20"/>
          <w:lang w:val="en"/>
        </w:rPr>
        <w:t>relies</w:t>
      </w:r>
      <w:proofErr w:type="gramEnd"/>
      <w:r w:rsidRPr="00D66B21">
        <w:rPr>
          <w:spacing w:val="-3"/>
          <w:sz w:val="20"/>
          <w:szCs w:val="20"/>
          <w:lang w:val="en"/>
        </w:rPr>
        <w:t xml:space="preserve">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21C70"/>
    <w:rsid w:val="00734E64"/>
    <w:rsid w:val="00761591"/>
    <w:rsid w:val="007761D5"/>
    <w:rsid w:val="0078019C"/>
    <w:rsid w:val="007936CD"/>
    <w:rsid w:val="007B6982"/>
    <w:rsid w:val="007C4AD9"/>
    <w:rsid w:val="007D6898"/>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93163"/>
    <w:rsid w:val="009C07B8"/>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335C"/>
    <w:rsid w:val="00CE587C"/>
    <w:rsid w:val="00D10545"/>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4136"/>
    <w:rsid w:val="00EC5C8A"/>
    <w:rsid w:val="00EC7666"/>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8a59da718cbf7bd87694a027d8939011">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48216cc7d729f35698b55c75b6960e98"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7XZC2EVTEK65-1957031407-201090</_dlc_DocId>
    <_dlc_DocIdUrl xmlns="4f8ea144-0010-4076-a0ec-5625238d0d0f">
      <Url>https://euamukraineeu.sharepoint.com/sites/procurement/_layouts/15/DocIdRedir.aspx?ID=7XZC2EVTEK65-1957031407-201090</Url>
      <Description>7XZC2EVTEK65-1957031407-201090</Description>
    </_dlc_DocIdUrl>
  </documentManagement>
</p:properties>
</file>

<file path=customXml/itemProps1.xml><?xml version="1.0" encoding="utf-8"?>
<ds:datastoreItem xmlns:ds="http://schemas.openxmlformats.org/officeDocument/2006/customXml" ds:itemID="{EA3093DA-B557-4BDA-93BA-65FAE6BC71F8}">
  <ds:schemaRefs>
    <ds:schemaRef ds:uri="http://schemas.microsoft.com/sharepoint/events"/>
  </ds:schemaRefs>
</ds:datastoreItem>
</file>

<file path=customXml/itemProps2.xml><?xml version="1.0" encoding="utf-8"?>
<ds:datastoreItem xmlns:ds="http://schemas.openxmlformats.org/officeDocument/2006/customXml" ds:itemID="{1F7C2DF4-5B53-4580-A7E8-1CDD359D737E}"/>
</file>

<file path=customXml/itemProps3.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4.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5.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3111</Words>
  <Characters>17733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Yurii CHYZHEVSKYI</cp:lastModifiedBy>
  <cp:revision>5</cp:revision>
  <cp:lastPrinted>2023-01-31T09:37:00Z</cp:lastPrinted>
  <dcterms:created xsi:type="dcterms:W3CDTF">2024-06-17T13:58:00Z</dcterms:created>
  <dcterms:modified xsi:type="dcterms:W3CDTF">2025-03-19T10:28:00Z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0x01010025236EBCCCAD374598EF6AA9AC35DBAB</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y fmtid="{D5CDD505-2E9C-101B-9397-08002B2CF9AE}" pid="10" name="_dlc_DocIdItemGuid">
    <vt:lpwstr>014337b6-fcb9-49ea-bbfc-87995d5b7faf</vt:lpwstr>
  </property>
  <property fmtid="{D5CDD505-2E9C-101B-9397-08002B2CF9AE}" pid="11" name="MediaServiceImageTags">
    <vt:lpwstr/>
  </property>
</Properties>
</file>